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23" w:rsidRPr="001B1D23" w:rsidRDefault="001B1D23" w:rsidP="001B1D23">
      <w:pPr>
        <w:shd w:val="clear" w:color="auto" w:fill="242424"/>
        <w:spacing w:after="0" w:line="27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tr-TR"/>
        </w:rPr>
        <w:t xml:space="preserve">                                         </w:t>
      </w:r>
      <w:r w:rsidRPr="001B1D23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tr-TR"/>
        </w:rPr>
        <w:t>Temel Tanım ve Kısaltmalar</w:t>
      </w:r>
      <w:bookmarkStart w:id="0" w:name="_GoBack"/>
      <w:bookmarkEnd w:id="0"/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EEEEEE"/>
          <w:sz w:val="24"/>
          <w:szCs w:val="24"/>
          <w:lang w:eastAsia="tr-TR"/>
        </w:rPr>
      </w:pPr>
      <w:r w:rsidRPr="001B1D23">
        <w:rPr>
          <w:rFonts w:ascii="Arial" w:eastAsia="Times New Roman" w:hAnsi="Arial" w:cs="Arial"/>
          <w:color w:val="EEEEEE"/>
          <w:sz w:val="24"/>
          <w:szCs w:val="24"/>
          <w:lang w:eastAsia="tr-TR"/>
        </w:rPr>
        <w:t> 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Uzay Açı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İçinden belirli bir ışık akısı geçen, konik veya piramit biçimli uzay parçasına verilen isimdir.</w:t>
      </w:r>
      <w:r w:rsidRPr="001B1D23">
        <w:rPr>
          <w:rFonts w:ascii="Arial" w:eastAsia="Times New Roman" w:hAnsi="Arial" w:cs="Arial"/>
          <w:b/>
          <w:bCs/>
          <w:color w:val="A8A8A8"/>
          <w:sz w:val="18"/>
          <w:szCs w:val="18"/>
          <w:lang w:eastAsia="tr-TR"/>
        </w:rPr>
        <w:t> </w:t>
      </w:r>
      <w:proofErr w:type="spellStart"/>
      <w:r w:rsidRPr="001B1D23">
        <w:rPr>
          <w:rFonts w:ascii="Arial" w:eastAsia="Times New Roman" w:hAnsi="Arial" w:cs="Arial"/>
          <w:b/>
          <w:bCs/>
          <w:color w:val="A8A8A8"/>
          <w:sz w:val="18"/>
          <w:szCs w:val="18"/>
          <w:lang w:eastAsia="tr-TR"/>
        </w:rPr>
        <w:t>sr</w:t>
      </w:r>
      <w:proofErr w:type="spellEnd"/>
      <w:r w:rsidRPr="001B1D23">
        <w:rPr>
          <w:rFonts w:ascii="Arial" w:eastAsia="Times New Roman" w:hAnsi="Arial" w:cs="Arial"/>
          <w:b/>
          <w:bCs/>
          <w:color w:val="A8A8A8"/>
          <w:sz w:val="18"/>
          <w:szCs w:val="18"/>
          <w:lang w:eastAsia="tr-TR"/>
        </w:rPr>
        <w:t> 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ile gösterilir. 1m²’lik düzlemi gören uzay açının değeri 1 steradyan olarak tanımlanır.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Işık Dağılım Eğrisi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Polar fotometri olarak da isimlendirilir.</w:t>
      </w:r>
      <w:r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Noktasa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l bir ışık kaynağından geçen düzlem üzerinde, kaynağın çeşitli doğrultulardaki ışık şidde</w:t>
      </w:r>
      <w:r>
        <w:rPr>
          <w:rFonts w:ascii="Arial" w:eastAsia="Times New Roman" w:hAnsi="Arial" w:cs="Arial"/>
          <w:color w:val="A8A8A8"/>
          <w:sz w:val="18"/>
          <w:szCs w:val="18"/>
          <w:lang w:eastAsia="tr-TR"/>
        </w:rPr>
        <w:t>tlerinin uç noktalarının geomet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rik yeridir.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Armatür Verimi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Aydınlatma armatür</w:t>
      </w:r>
      <w:r>
        <w:rPr>
          <w:rFonts w:ascii="Arial" w:eastAsia="Times New Roman" w:hAnsi="Arial" w:cs="Arial"/>
          <w:color w:val="A8A8A8"/>
          <w:sz w:val="18"/>
          <w:szCs w:val="18"/>
          <w:lang w:eastAsia="tr-TR"/>
        </w:rPr>
        <w:t>ünden çıkan ışık akısının armatü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re içindeki ışık kaynağının akısına oranıdır. </w:t>
      </w:r>
      <w:r w:rsidRPr="001B1D23">
        <w:rPr>
          <w:rFonts w:ascii="Arial" w:eastAsia="Times New Roman" w:hAnsi="Arial" w:cs="Arial"/>
          <w:b/>
          <w:bCs/>
          <w:color w:val="A8A8A8"/>
          <w:sz w:val="18"/>
          <w:szCs w:val="18"/>
          <w:lang w:eastAsia="tr-TR"/>
        </w:rPr>
        <w:t>η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 ile ifade edilir.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Üst Yarı Uzay Işık Akısı Oranı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Bir armatüre içindeki ışık kaynağından üst yarı uzaya yayılan ışık akısının, kaynağın akısına oranıdır. (ULOR)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Alt Yarı Uzay Işık Akısı Oranı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Bir armatüre içindeki ışık kaynağından alt yarı uzaya yayılan ışık akısının, kaynağın akısına oranıdır. </w:t>
      </w:r>
      <w:proofErr w:type="gram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(</w:t>
      </w:r>
      <w:proofErr w:type="gram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ULOR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Koruma Derecesi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Aydınlatma armatürlerinin toza, neme, suya ve katı cisimlere karşı olan dayanıklılığını gös</w:t>
      </w:r>
      <w:r>
        <w:rPr>
          <w:rFonts w:ascii="Arial" w:eastAsia="Times New Roman" w:hAnsi="Arial" w:cs="Arial"/>
          <w:color w:val="A8A8A8"/>
          <w:sz w:val="18"/>
          <w:szCs w:val="18"/>
          <w:lang w:eastAsia="tr-TR"/>
        </w:rPr>
        <w:t>terir. Uluslararası kabullere gö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re IPX1X2 şeklinde gösterilir. X1, katı cisimlere karşı korumasını gösterirken X2 suya karşı koruma derecesini gösterir. TS3033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Ekranlı Armatür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Maksimum ışık şiddeti düşey ile 60* ile sınırlandırılmış, üst yarı uzaya ışık yaymayan (ULOR=0) armatürleridir.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Yarı-ekranlı Armatür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Maksimum ışık şiddeti düşey ile 75* ile sınırlandırılmış, üst yarı uzaya %10’dan fazla ışık akısı yaymayan (ULOR&lt;=%10) armatürlerdir.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Ekransız Armatür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Maksimum ışık şiddeti belirli bir açı ile sınırlandırılmamış olan ancak düşeyle yaptığı 90*’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lik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açıda ışık şiddeti, ışık kaynağı veya kaynakları ne olursa olsun, 1000cd’yı aşmayan armatürlerdir.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Ekonomik Ömür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Bir tesisteki lambaların 100saat kullanımından sonraki toplam ışık akılarının, %30 kayba ulaştıkları ana kadar geçen süredir.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Etkinlik Faktörü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Kaynaktan çıkan toplam ışık akısının kaynağın gücüne oranıdır. Birimi lümen/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Watt’tır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. (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lm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/W)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hyperlink r:id="rId5" w:history="1">
        <w:r w:rsidRPr="001B1D23">
          <w:rPr>
            <w:rFonts w:ascii="Arial" w:eastAsia="Times New Roman" w:hAnsi="Arial" w:cs="Arial"/>
            <w:b/>
            <w:bCs/>
            <w:color w:val="FF0000"/>
            <w:sz w:val="18"/>
            <w:szCs w:val="18"/>
            <w:lang w:eastAsia="tr-TR"/>
          </w:rPr>
          <w:t>Işık Akısı (Φ)</w:t>
        </w:r>
      </w:hyperlink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Işık akısı basitçe, bir aydınlatma kaynağının ışık gücünü ifade eder. Kaynaktan, uzay alanda her yöne yayılan ışık miktarı olarak da tanımlanabilir. Birimi 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lümen'dir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. (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lm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)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Aydınlık Şiddeti (Aydınlık Düzeyi)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Aydınlık şiddeti (</w:t>
      </w:r>
      <w:r w:rsidRPr="001B1D23">
        <w:rPr>
          <w:rFonts w:ascii="Arial" w:eastAsia="Times New Roman" w:hAnsi="Arial" w:cs="Arial"/>
          <w:b/>
          <w:bCs/>
          <w:color w:val="A8A8A8"/>
          <w:sz w:val="18"/>
          <w:szCs w:val="18"/>
          <w:lang w:eastAsia="tr-TR"/>
        </w:rPr>
        <w:t>E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), düşen ışık akısının aydınlatılacak yüzeye oranı olarak tanımlanabilir. Birimi 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lux'tür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(lx). 1lm değerindeki ışık akısının 1m</w:t>
      </w:r>
      <w:r w:rsidRPr="001B1D23">
        <w:rPr>
          <w:rFonts w:ascii="Arial" w:eastAsia="Times New Roman" w:hAnsi="Arial" w:cs="Arial"/>
          <w:color w:val="A8A8A8"/>
          <w:sz w:val="18"/>
          <w:szCs w:val="18"/>
          <w:vertAlign w:val="superscript"/>
          <w:lang w:eastAsia="tr-TR"/>
        </w:rPr>
        <w:t>2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 yüzeye eşi</w:t>
      </w:r>
      <w:r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t olarak düşmesi durumunda 1lx 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aydınlık şiddeti değeri elde edilmiş olur.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Işık Şiddeti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Belli bir yönde yayılan ışığın yoğunluğu, ışık şiddeti olarak tanımlanır. Birimi 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Candela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(cd)'</w:t>
      </w:r>
      <w:proofErr w:type="spellStart"/>
      <w:proofErr w:type="gram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dır</w:t>
      </w:r>
      <w:proofErr w:type="spellEnd"/>
      <w:proofErr w:type="gram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(Kandela).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Renk Sıcaklığı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Işık kaynaklarının renkleri, Kelvin (K) cinsinden tanımlanmıştır. Işık kaynakları, 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Warm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white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(sıcak beyaz) 2700-3300K, Natural White (doğal beyaz) 3500-4500K, 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Cool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White (soğuk beyaz) 5500-6500K olarak 3 ana grupta tanımlanmaktadır.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  <w:proofErr w:type="spellStart"/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Renksel</w:t>
      </w:r>
      <w:proofErr w:type="spellEnd"/>
      <w:r w:rsidRPr="001B1D2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 xml:space="preserve"> Geriverim (CRI)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Aynı renk sıcaklığındaki ışık kaynakları, tayfsal bileşimlerinden ötürü farklı </w:t>
      </w:r>
      <w:proofErr w:type="spellStart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renksel</w:t>
      </w:r>
      <w:proofErr w:type="spellEnd"/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geriverimlere (CRI değeri) sahip olabilirler. CRI değerleri, kullanılan yapay ışığın altında renk algılamasının ne</w:t>
      </w:r>
      <w:r>
        <w:rPr>
          <w:rFonts w:ascii="Arial" w:eastAsia="Times New Roman" w:hAnsi="Arial" w:cs="Arial"/>
          <w:color w:val="A8A8A8"/>
          <w:sz w:val="18"/>
          <w:szCs w:val="18"/>
          <w:lang w:eastAsia="tr-TR"/>
        </w:rPr>
        <w:t xml:space="preserve"> </w:t>
      </w: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kadar tutarlı olduğunun bir göstergesidir.</w:t>
      </w:r>
    </w:p>
    <w:p w:rsidR="001B1D23" w:rsidRPr="001B1D23" w:rsidRDefault="001B1D23" w:rsidP="001B1D23">
      <w:pPr>
        <w:shd w:val="clear" w:color="auto" w:fill="242424"/>
        <w:spacing w:after="0" w:line="270" w:lineRule="atLeast"/>
        <w:rPr>
          <w:rFonts w:ascii="Arial" w:eastAsia="Times New Roman" w:hAnsi="Arial" w:cs="Arial"/>
          <w:color w:val="A8A8A8"/>
          <w:sz w:val="18"/>
          <w:szCs w:val="18"/>
          <w:lang w:eastAsia="tr-TR"/>
        </w:rPr>
      </w:pPr>
      <w:r w:rsidRPr="001B1D23">
        <w:rPr>
          <w:rFonts w:ascii="Arial" w:eastAsia="Times New Roman" w:hAnsi="Arial" w:cs="Arial"/>
          <w:color w:val="A8A8A8"/>
          <w:sz w:val="18"/>
          <w:szCs w:val="18"/>
          <w:lang w:eastAsia="tr-TR"/>
        </w:rPr>
        <w:t> </w:t>
      </w:r>
    </w:p>
    <w:p w:rsidR="0003180D" w:rsidRDefault="0003180D"/>
    <w:sectPr w:rsidR="0003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9D"/>
    <w:rsid w:val="0003180D"/>
    <w:rsid w:val="0011379F"/>
    <w:rsid w:val="001B1D23"/>
    <w:rsid w:val="006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F"/>
  </w:style>
  <w:style w:type="paragraph" w:styleId="Balk1">
    <w:name w:val="heading 1"/>
    <w:basedOn w:val="Normal"/>
    <w:link w:val="Balk1Char"/>
    <w:uiPriority w:val="9"/>
    <w:qFormat/>
    <w:rsid w:val="001B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79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B1D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D23"/>
    <w:rPr>
      <w:b/>
      <w:bCs/>
    </w:rPr>
  </w:style>
  <w:style w:type="character" w:customStyle="1" w:styleId="apple-converted-space">
    <w:name w:val="apple-converted-space"/>
    <w:basedOn w:val="VarsaylanParagrafYazTipi"/>
    <w:rsid w:val="001B1D23"/>
  </w:style>
  <w:style w:type="character" w:styleId="Kpr">
    <w:name w:val="Hyperlink"/>
    <w:basedOn w:val="VarsaylanParagrafYazTipi"/>
    <w:uiPriority w:val="99"/>
    <w:semiHidden/>
    <w:unhideWhenUsed/>
    <w:rsid w:val="001B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F"/>
  </w:style>
  <w:style w:type="paragraph" w:styleId="Balk1">
    <w:name w:val="heading 1"/>
    <w:basedOn w:val="Normal"/>
    <w:link w:val="Balk1Char"/>
    <w:uiPriority w:val="9"/>
    <w:qFormat/>
    <w:rsid w:val="001B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79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B1D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D23"/>
    <w:rPr>
      <w:b/>
      <w:bCs/>
    </w:rPr>
  </w:style>
  <w:style w:type="character" w:customStyle="1" w:styleId="apple-converted-space">
    <w:name w:val="apple-converted-space"/>
    <w:basedOn w:val="VarsaylanParagrafYazTipi"/>
    <w:rsid w:val="001B1D23"/>
  </w:style>
  <w:style w:type="character" w:styleId="Kpr">
    <w:name w:val="Hyperlink"/>
    <w:basedOn w:val="VarsaylanParagrafYazTipi"/>
    <w:uiPriority w:val="99"/>
    <w:semiHidden/>
    <w:unhideWhenUsed/>
    <w:rsid w:val="001B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ydinlatmatasarim.com/makaleler/isik_akisi_nedi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2015-03-05T15:12:00Z</dcterms:created>
  <dcterms:modified xsi:type="dcterms:W3CDTF">2015-03-05T15:16:00Z</dcterms:modified>
</cp:coreProperties>
</file>